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FilmFöFRAV</w:t>
      </w:r>
    </w:p>
    <w:p>
      <w:r>
        <w:rPr>
          <w:color w:val="555555"/>
          <w:sz w:val="18"/>
        </w:rPr>
        <w:t xml:space="preserve">Verordnung zur verstärkten Förderung deutsch-französischer Filmvorhaben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32 Abs. 6 Satz 3 des Filmförderungsgesetzes vom 25. Juni 1979 (BGBl. I S. 803) wird nach Anhörung der Filmförderungsanstalt verordnet:</w:t>
      </w:r>
    </w:p>
    <w:p>
      <w:r>
        <w:rPr>
          <w:color w:val="555555"/>
          <w:sz w:val="17"/>
        </w:rPr>
        <w:t xml:space="preserve">Zitiervorschlag: Eingangsformel FilmFöFRAV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https://recht.nulegal.eu/gesetze/FilmF%C3%B6FRAV/eingangsformel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