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FilmDigitV</w:t>
      </w:r>
    </w:p>
    <w:p>
      <w:r>
        <w:rPr>
          <w:color w:val="555555"/>
          <w:sz w:val="18"/>
        </w:rPr>
        <w:t xml:space="preserve">Filmtheaterdigitalisierungsverordnung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56 Absatz 1 Satz 2 des Filmförderungsgesetzes, der durch Artikel 1 Nummer 52 des Gesetzes vom 22. Dezember 2008 (BGBl. I S. 3000) neu gefasst worden ist, verordnet die Bundeskanzlerin:</w:t>
      </w:r>
    </w:p>
    <w:p>
      <w:r>
        <w:rPr>
          <w:color w:val="555555"/>
          <w:sz w:val="17"/>
        </w:rPr>
        <w:t xml:space="preserve">Zitiervorschlag: Eingangsformel FilmDigitV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https://recht.nulegal.eu/gesetze/FilmDigitV/eingangsformel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