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FilmDigitV — Inkrafttreten</w:t>
      </w:r>
    </w:p>
    <w:p>
      <w:r>
        <w:rPr>
          <w:color w:val="555555"/>
          <w:sz w:val="18"/>
        </w:rPr>
        <w:t xml:space="preserve">Filmtheaterdigitalisierungsverordnung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FilmDigitV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https://recht.nulegal.eu/gesetze/FilmDigitV/6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