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FilmDigitV — Verfahren</w:t>
      </w:r>
    </w:p>
    <w:p>
      <w:r>
        <w:rPr>
          <w:color w:val="555555"/>
          <w:sz w:val="18"/>
        </w:rPr>
        <w:t xml:space="preserve">Filmtheaterdigitalisierungsverordnung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Erlass von Richtlinien durch die Filmförderungsanstalt gilt § 63 des Filmförderungsgesetzes.</w:t>
      </w:r>
    </w:p>
    <w:p>
      <w:r>
        <w:rPr>
          <w:color w:val="555555"/>
          <w:sz w:val="17"/>
        </w:rPr>
        <w:t xml:space="preserve">Zitiervorschlag: § 5 FilmDigitV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https://recht.nulegal.eu/gesetze/FilmDigitV/5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