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FilmDigitV — Zuwendungsempfänger</w:t>
      </w:r>
    </w:p>
    <w:p>
      <w:r>
        <w:rPr>
          <w:color w:val="555555"/>
          <w:sz w:val="18"/>
        </w:rPr>
        <w:t xml:space="preserve">Filmtheaterdigitalisierungsverordnung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Empfänger der Förderung sind Filmtheater mit Sitz in der Bundesrepublik Deutschland, die</w:t>
      </w:r>
    </w:p>
    <w:p>
      <w:pPr>
        <w:ind w:left="420"/>
      </w:pPr>
      <w:r>
        <w:t xml:space="preserve">1. bis zu sechs Leinwände pro Betriebsstätte haben,</w:t>
      </w:r>
    </w:p>
    <w:p>
      <w:pPr>
        <w:ind w:left="420"/>
      </w:pPr>
      <w:r>
        <w:t xml:space="preserve">2. in den letzten drei Kalenderjahren vor Antragstellung bei Betrachtung des Gesamtnettokartenumsatzes und der Gesamtbesucherzahl der Betriebsstätte durchschnittlich pro Leinwand und Jahr</w:t>
      </w:r>
    </w:p>
    <w:p>
      <w:pPr>
        <w:ind w:left="780"/>
      </w:pPr>
      <w:r>
        <w:t xml:space="preserve">a) maximal 260 000 Euro Nettokartenumsatz und</w:t>
      </w:r>
    </w:p>
    <w:p>
      <w:pPr>
        <w:ind w:left="780"/>
      </w:pPr>
      <w:r>
        <w:t xml:space="preserve">b) mindestens einen Nettokartenumsatz von 40 000 Euro oder eine Besucherzahl von mindestens 8 000</w:t>
      </w:r>
    </w:p>
    <w:p>
      <w:pPr>
        <w:ind w:left="420"/>
      </w:pPr>
      <w:r>
        <w:t xml:space="preserve">erzielt haben.</w:t>
      </w:r>
    </w:p>
    <w:p>
      <w:r>
        <w:t xml:space="preserve">Abweichend von Satz 1 sind Filmtheater mit Sitz in der Bundesrepublik Deutschland mit mehr als sechs Leinwänden pro Betriebsstätte förderberechtigt, wenn sie die übrigen Voraussetzungen nach Satz 1 erfüllen und in einem Ort mit weniger als 50 000 Einwohnern liegen.</w:t>
      </w:r>
    </w:p>
    <w:p>
      <w:r>
        <w:rPr>
          <w:color w:val="555555"/>
          <w:sz w:val="17"/>
        </w:rPr>
        <w:t xml:space="preserve">Zitiervorschlag: § 3 FilmDigitV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https://recht.nulegal.eu/gesetze/FilmDigitV/3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