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FilmDigitV — Anwendungsbereich</w:t>
      </w:r>
    </w:p>
    <w:p>
      <w:r>
        <w:rPr>
          <w:color w:val="555555"/>
          <w:sz w:val="18"/>
        </w:rPr>
        <w:t xml:space="preserve">Filmtheaterdigitalisierungsverordnung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 die Gewährung von Zuschüssen durch die Filmförderungsanstalt für die erstmalige technische Umstellung eines Filmtheaters mit Sitz in der Bundesrepublik Deutschland auf digitales Filmabspiel (Digitalisierung).</w:t>
      </w:r>
    </w:p>
    <w:p>
      <w:r>
        <w:rPr>
          <w:color w:val="555555"/>
          <w:sz w:val="17"/>
        </w:rPr>
        <w:t xml:space="preserve">Zitiervorschlag: § 1 FilmDigitV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https://recht.nulegal.eu/gesetze/FilmDigitV/1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