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FeuerschStG 1979 — Bemessungsgrundlage</w:t>
      </w:r>
    </w:p>
    <w:p>
      <w:r>
        <w:rPr>
          <w:color w:val="555555"/>
          <w:sz w:val="18"/>
        </w:rPr>
        <w:t xml:space="preserve">Feuerschutzsteuergesetz</w:t>
      </w:r>
    </w:p>
    <w:p>
      <w:r>
        <w:rPr>
          <w:color w:val="555555"/>
          <w:sz w:val="18"/>
        </w:rPr>
        <w:t xml:space="preserve">Stand: 10.06.2019 (konsolidierte Textfassung, kein amtliches Inkrafttretensdatum)</w:t>
      </w:r>
    </w:p>
    <w:p>
      <w:r>
        <w:t xml:space="preserve">(1) Bemessungsgrundlage ist</w:t>
      </w:r>
    </w:p>
    <w:p>
      <w:pPr>
        <w:ind w:left="420"/>
      </w:pPr>
      <w:r>
        <w:t xml:space="preserve">1. bei Feuerversicherungen (§ 1 Absatz 1 Satz 1 Nummer 1) ein Anteil von 40 Prozent des Versicherungsentgelts,</w:t>
      </w:r>
    </w:p>
    <w:p>
      <w:pPr>
        <w:ind w:left="420"/>
      </w:pPr>
      <w:r>
        <w:t xml:space="preserve">2. bei Wohngebäudeversicherungen (§ 1 Absatz 1 Satz 1 Nummer 2) ein Anteil von 14 Prozent des Gesamtbetrages des Versicherungsentgelts und</w:t>
      </w:r>
    </w:p>
    <w:p>
      <w:pPr>
        <w:ind w:left="420"/>
      </w:pPr>
      <w:r>
        <w:t xml:space="preserve">3. bei Hausratversicherungen (§ 1 Absatz 1 Satz 1 Nummer 3) ein Anteil von 15 Prozent des Gesamtbetrages des Versicherungsentgelts.</w:t>
      </w:r>
    </w:p>
    <w:p>
      <w:r>
        <w:t xml:space="preserve">(2) Die Steuer ist von den Anteilen (Absatz 1 Nummer 1, 2 und 3) zu berechnen, die im Anmeldungszeitraum (§ 8 Absatz 2) vereinnahmt worden sind (Isteinnahmen). Wird das Versicherungsentgelt ganz oder zum Teil zurückgezahlt, weil das Versicherungsverhältnis vorzeitig beendet oder das Versicherungsentgelt herabgesetzt worden ist, so mindert sich die Bemessungsgrundlage um die auf die Anteile zurückgezahlten Versicherungsentgelte.</w:t>
      </w:r>
    </w:p>
    <w:p>
      <w:r>
        <w:t xml:space="preserve">(3) Das Bundeszentralamt für Steuern kann auf Antrag gestatten, dass die Steuer nicht nach den Isteinnahmen, sondern nach den im Anmeldungszeitraum angeforderten Anteilen (Absatz 1 Nummer 1, 2 und 3) (Solleinnahmen) berechnet wird. Im Falle der Berechnung nach Solleinnahmen ist die auf nicht eingegangene Anteile bereits entrichtete Steuer bei der Anmeldung in dem Anmeldungszeitraum (§ 8 Absatz 2) abzusetzen, in dem der Versicherer die Versicherung ganz oder teilweise in Abgang gestellt hat.</w:t>
      </w:r>
    </w:p>
    <w:p>
      <w:r>
        <w:t xml:space="preserve">(4) Das der Steuerberechnung zu Grunde zu legende Entgelt darf nicht um die für die Rückversicherungen gezahlten Versicherungsentgelte gekürzt werden.</w:t>
      </w:r>
    </w:p>
    <w:p>
      <w:r>
        <w:t xml:space="preserve">(5) In anderer Währung ausgedrückte Beträge sind nach den für die Umsatzsteuer geltenden Vorschriften umzurechnen.</w:t>
      </w:r>
    </w:p>
    <w:p>
      <w:r>
        <w:rPr>
          <w:color w:val="555555"/>
          <w:sz w:val="17"/>
        </w:rPr>
        <w:t xml:space="preserve">Zitiervorschlag: § 3 FeuerschStG 1979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https://recht.nulegal.eu/gesetze/FeuerschStG%201979/3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