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FeuerschStG 1979 — Versicherungsentgelt</w:t>
      </w:r>
    </w:p>
    <w:p>
      <w:r>
        <w:rPr>
          <w:color w:val="555555"/>
          <w:sz w:val="18"/>
        </w:rPr>
        <w:t xml:space="preserve">Feuerschutzsteuergesetz</w:t>
      </w:r>
    </w:p>
    <w:p>
      <w:r>
        <w:rPr>
          <w:color w:val="555555"/>
          <w:sz w:val="18"/>
        </w:rPr>
        <w:t xml:space="preserve">Stand: 10.06.2019 (konsolidierte Textfassung, kein amtliches Inkrafttretensdatum)</w:t>
      </w:r>
    </w:p>
    <w:p>
      <w:r>
        <w:t xml:space="preserve">(1) Versicherungsentgelt im Sinne dieses Gesetzes ist jede Leistung, die für die Begründung und zur Durchführung des Versicherungsverhältnisses an den Versicherer zu bewirken ist. Darunter fallen insbesondere Prämien, Beiträge, Vorbeiträge, Vorschüsse, Nachschüsse, Umlagen, außerdem Eintrittsgelder, Gebühren für die Ausfertigung des Versicherungsscheins und sonstige Nebenkosten. Zum Versicherungsentgelt gehört nicht, was zur Abgeltung einer Sonderleistung des Versicherers oder aus einem sonstigen in der Person des einzelnen Versicherungsnehmers liegenden Grund gezahlt wird, wie Kosten für die Ausstellung einer Ersatzurkunde oder Mahnkosten.</w:t>
      </w:r>
    </w:p>
    <w:p>
      <w:r>
        <w:t xml:space="preserve">(2) Wird auf die Prämie ein Gewinnanteil verrechnet und nur der Unterschied zwischen Prämie und Gewinnanteil an den Versicherer gezahlt, so ist dieser Unterschiedsbetrag Versicherungsentgelt. Das gleiche gilt, wenn eine Verrechnung zwischen Prämie und Gewinnanteil nicht möglich ist und die Gutschriftanzeige über den Gewinnanteil dem Versicherungsnehmer mit der Prämienrechnung vorgelegt wird.</w:t>
      </w:r>
    </w:p>
    <w:p>
      <w:r>
        <w:rPr>
          <w:color w:val="555555"/>
          <w:sz w:val="17"/>
        </w:rPr>
        <w:t xml:space="preserve">Zitiervorschlag: § 2 FeuerschStG 1979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https://recht.nulegal.eu/gesetze/FeuerschStG%201979/2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