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FeuerschStG 1979 — Anwendungsvorschrift</w:t>
      </w:r>
    </w:p>
    <w:p>
      <w:r>
        <w:rPr>
          <w:color w:val="555555"/>
          <w:sz w:val="18"/>
        </w:rPr>
        <w:t xml:space="preserve">Feuerschutzsteuergesetz</w:t>
      </w:r>
    </w:p>
    <w:p>
      <w:r>
        <w:rPr>
          <w:color w:val="555555"/>
          <w:sz w:val="18"/>
        </w:rPr>
        <w:t xml:space="preserve">Stand: 10.06.2019 (konsolidierte Textfassung, kein amtliches Inkrafttretensdatum)</w:t>
      </w:r>
    </w:p>
    <w:p>
      <w:r>
        <w:t xml:space="preserve">Wird ein Steuersatz geändert, ist der neue Steuersatz auf Versicherungsentgelte anzuwenden, die ab dem Inkrafttreten der Änderung des Steuersatzes fällig werden. Wird die Fälligkeit des Versicherungsentgelts auf einen Zeitpunkt vor oder nach Inkrafttreten eines geänderten Steuersatzes geändert und würde die Änderung zur Anwendung eines niedrigeren Steuersatzes führen, ist die Änderung insoweit nicht zu berücksichtigen. Dies gilt entsprechend, wenn ein Versicherungsvertrag zur Änderung der Fälligkeit des Versicherungsentgelts gekündigt und alsbald neu abgeschlossen oder wenn die Fälligkeit des Versicherungsentgelts für einen Zeitpunkt vor Abschluß des Versicherungsvertrags festgelegt wird. Die Sätze 2 und 3 gelten für ab dem 1. August 1993 vorgenommene Änderungen oder Festlegungen der Fälligkeit des Versicherungsentgelts.</w:t>
      </w:r>
    </w:p>
    <w:p>
      <w:r>
        <w:rPr>
          <w:color w:val="555555"/>
          <w:sz w:val="17"/>
        </w:rPr>
        <w:t xml:space="preserve">Zitiervorschlag: § 13 FeuerschStG 1979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https://recht.nulegal.eu/gesetze/FeuerschStG%201979/13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