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FeuV (Bayern)</w:t>
      </w:r>
    </w:p>
    <w:p>
      <w:r>
        <w:rPr>
          <w:color w:val="555555"/>
          <w:sz w:val="18"/>
        </w:rPr>
        <w:t xml:space="preserve">Feuerungsverordnung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80 Abs. 1 Satz 1 Nrn. 1 und 2 sowie Abs. 6 der Bayerischen Bauordnung (BayBO) in der Fassung der Bekanntmachung vom 14. August 2007 (GVBl S. 588, BayRS 2132-1-I)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FeuV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