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FeuV (Bayern) — Ordnungswidrigkeiten</w:t>
      </w:r>
    </w:p>
    <w:p>
      <w:r>
        <w:rPr>
          <w:color w:val="555555"/>
          <w:sz w:val="18"/>
        </w:rPr>
        <w:t xml:space="preserve">Feuerungsverordnung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Art. 79 Abs. 1 Nr. 1 BayBO kann mit Geldbuße belegt werden, wer als am Bau Beteiligter nach Art. 49 bis 52 BayBO vorsätzlich oder fahrlässig</w:t>
      </w:r>
    </w:p>
    <w:p>
      <w:r>
        <w:t xml:space="preserve">1. Feuerstätten aufstellt oder Bauteile aus brennbaren Baustoffen oder Einbaumöbel anordnet, ohne die Abstände nach § 4 Abs. 7 einzuhalten,</w:t>
      </w:r>
    </w:p>
    <w:p>
      <w:r>
        <w:t xml:space="preserve">2. Fußböden vor Feuerungsöffnungen entgegen § 4 Abs. 8 nicht schützt,</w:t>
      </w:r>
    </w:p>
    <w:p>
      <w:r>
        <w:t xml:space="preserve">3. Bauteile aus brennbaren Baustoffen oder offene Kamine anordnet, ohne die Abstände nach § 4 Abs. 9 einzuhalten,</w:t>
      </w:r>
    </w:p>
    <w:p>
      <w:r>
        <w:t xml:space="preserve">4. Abgasleitungen außerhalb von Schächten oder Bauteile aus brennbaren Baustoffen anordnet, ohne die Abstände nach § 8 Abs. 1 Satz 2 Nr. 3 in Verbindung mit § 8 Abs. 3 einzuhalten,</w:t>
      </w:r>
    </w:p>
    <w:p>
      <w:r>
        <w:t xml:space="preserve">5. Verbindungsstücke zu Kaminen oder Bauteile aus brennbaren Baustoffen anordnet, ohne die Abstände nach § 8 Abs. 1 Satz 2 Nr. 3 in Verbindung mit § 8 Abs. 4 einzuhalten,</w:t>
      </w:r>
    </w:p>
    <w:p>
      <w:r>
        <w:t xml:space="preserve">6. Abgasleitungen oder Verbindungsstücke zu Kaminen durch Bauteile aus brennbaren Baustoffen führt, ohne die Abstände nach § 8 Abs. 5 einzuhalten.</w:t>
      </w:r>
    </w:p>
    <w:p>
      <w:r>
        <w:rPr>
          <w:color w:val="555555"/>
          <w:sz w:val="17"/>
        </w:rPr>
        <w:t xml:space="preserve">Zitiervorschlag: § 14 FeuV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https://recht.nulegal.eu/gesetze/FeuV/14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