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FeuV (Bayern) — Flüssiggasanlagen und Dampfkesselanlagen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Flüssiggasanlagen und Dampfkesselanlagen, die weder gewerblichen noch wirtschaftlichen Zwecken dienen oder durch die keine Beschäftigten gefährdet werden können, gelten die materiellen Anforderungen und Festlegungen über erstmalige Prüfungen vor Inbetriebnahme und wiederkehrende Prüfungen der auf Grund des § 34 ProdSG erlassenen Vorschriften entsprechend. Dies gilt nicht für die in diesen Vorschriften genannten Flüssiggasanlagen und Dampfkesselanlagen, auf die diese Vorschriften keine Anwendung finden.</w:t>
      </w:r>
    </w:p>
    <w:p>
      <w:r>
        <w:t xml:space="preserve">(2) Zuständige Behörden im Sinn der Vorschriften nach Abs. 1 sind die Gewerbeaufsichtsämter der Regierungen. Im Rahmen des Vollzugs dieser Verordnung nehmen sie auch die Aufgaben und Befugnisse der Bauaufsichtsbehörden wahr.</w:t>
      </w:r>
    </w:p>
    <w:p>
      <w:r>
        <w:rPr>
          <w:color w:val="555555"/>
          <w:sz w:val="17"/>
        </w:rPr>
        <w:t xml:space="preserve">Zitiervorschlag: § 13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