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FeuLV (Brandenburg) — Schwerbehinderte Menschen</w:t>
      </w:r>
    </w:p>
    <w:p>
      <w:r>
        <w:rPr>
          <w:color w:val="555555"/>
          <w:sz w:val="18"/>
        </w:rPr>
        <w:t xml:space="preserve">Feuerwehrlaufbahnverordnung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Von schwerbehinderten Menschen darf bei der Einstellung, Übertragung höherbewerteter Dienstposten, Beförderung und bei der Zulassung zum Aufstieg nur das Mindestmaß körperlicher Eignung verlangt werden.</w:t>
      </w:r>
    </w:p>
    <w:p>
      <w:r>
        <w:t xml:space="preserve">(2) Im Prüfungsverfahren und bei der Erstellung von Leistungsnachweisen sind für schwerbehinderte Menschen die ihrer Behinderung angemessenen Erleichterungen vorzusehen. Die fachlichen Anforderungen dürfen nicht geringer bemessen werden.</w:t>
      </w:r>
    </w:p>
    <w:p>
      <w:r>
        <w:t xml:space="preserve">(3) Bei der Beurteilung der Leistung schwerbehinderter Menschen ist eine etwaige Minderung der Arbeits- und Verwendungsfähigkeit aufgrund der Behinderung zu berücksichtigen.</w:t>
      </w:r>
    </w:p>
    <w:p>
      <w:r>
        <w:rPr>
          <w:color w:val="555555"/>
          <w:sz w:val="17"/>
        </w:rPr>
        <w:t xml:space="preserve">Zitiervorschlag: § 23 FeuLV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https://recht.nulegal.eu/gesetze/FeuLV/23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