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FeuLV (Brandenburg) — Aufstieg in die Laufbahn des höheren feuerwehrtechnischen Dienstes</w:t>
      </w:r>
    </w:p>
    <w:p>
      <w:r>
        <w:rPr>
          <w:color w:val="555555"/>
          <w:sz w:val="18"/>
        </w:rPr>
        <w:t xml:space="preserve">Feuerwehrlaufbahnverordnung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Beamtinnen und Beamte des gehobenen feuerwehrtechnischen Dienstes können zum Aufstieg in die Laufbahn des höheren feuerwehrtechnischen Dienstes zugelassen werden, wenn sie</w:t>
      </w:r>
    </w:p>
    <w:p>
      <w:r>
        <w:t xml:space="preserve">geeignet sind,</w:t>
      </w:r>
    </w:p>
    <w:p>
      <w:r>
        <w:t xml:space="preserve">eine laufbahnrechtliche Dienstzeit von mindestens acht Jahren in einem Amt des gehobenen feuerwehrtechnischen Dienstes zurückgelegt haben,</w:t>
      </w:r>
    </w:p>
    <w:p>
      <w:r>
        <w:t xml:space="preserve">ein Beförderungsamt erreicht haben und</w:t>
      </w:r>
    </w:p>
    <w:p>
      <w:r>
        <w:t xml:space="preserve">höchstens 50 Jahre alt sind.</w:t>
      </w:r>
    </w:p>
    <w:p>
      <w:r>
        <w:t xml:space="preserve">(2) Die Beamtinnen und Beamten werden auf Grund eines beim Dienstherrn vorzunehmenden Auswahlverfahrens zum Aufstieg zugelassen und in die Aufgaben der neuen Laufbahn eingeführt. Näheres regeln die Ausbildungs- und Prüfungsvorschriften.</w:t>
      </w:r>
    </w:p>
    <w:p>
      <w:r>
        <w:t xml:space="preserve">(3) Nach erfolgreicher Einführung ist die Aufstiegsprüfung an dem Institut der Feuerwehr Nordrhein-Westfalen abzulegen.</w:t>
      </w:r>
    </w:p>
    <w:p>
      <w:r>
        <w:t xml:space="preserve">(4) Sind Arbeitnehmerinnen und Arbeitnehmer nach § 18 Absatz 5 für den Aufstieg vorgesehen, gilt Absatz 1 entsprechend mit der Maßgabe, dass sich die erforderliche Dienstzeit um die Dauer der regelmäßigen Probezeit verlängert. Der Zeitraum der Verlängerung nach Satz 1 kann in entsprechender Anwendung des § 12 gekürzt werden, wenn eine Kürzung bei Einstellung in ein Beamtenverhältnis auf Probe hätte erfolgen können. An Stelle des Beförderungsamts nach Absatz 1 Nummer 3 ist eine dem Beförderungsamt vergleichbare Tätigkeit erforderlich.</w:t>
      </w:r>
    </w:p>
    <w:p>
      <w:r>
        <w:rPr>
          <w:color w:val="555555"/>
          <w:sz w:val="17"/>
        </w:rPr>
        <w:t xml:space="preserve">Zitiervorschlag: § 20 FeuLV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https://recht.nulegal.eu/gesetze/FeuLV/20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