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FeuLV (Brandenburg) — Geltungsbereich</w:t>
      </w:r>
    </w:p>
    <w:p>
      <w:r>
        <w:rPr>
          <w:color w:val="555555"/>
          <w:sz w:val="18"/>
        </w:rPr>
        <w:t xml:space="preserve">Feuerwehrlaufbahnverordnung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das Laufbahnrecht für die Beamtinnen und Beamten des feuerwehrtechnischen Dienstes des Landes sowie der Gemeinden und Gemeindeverbände.</w:t>
      </w:r>
    </w:p>
    <w:p>
      <w:r>
        <w:t xml:space="preserve">(2) Laufbahnordnungsbehörde für die Laufbahnen des feuerwehrtechnischen Dienstes ist die für das öffentliche Dienstrecht der Feuerwehren zuständige oberste Landesbehörde.</w:t>
      </w:r>
    </w:p>
    <w:p>
      <w:r>
        <w:rPr>
          <w:color w:val="555555"/>
          <w:sz w:val="17"/>
        </w:rPr>
        <w:t xml:space="preserve">Zitiervorschlag: § 1 FeuLV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https://recht.nulegal.eu/gesetze/FeuLV/1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