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FeuAO</w:t>
      </w:r>
    </w:p>
    <w:p>
      <w:r>
        <w:rPr>
          <w:color w:val="555555"/>
          <w:sz w:val="18"/>
        </w:rPr>
        <w:t xml:space="preserve">Feuerungsanordnung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§ 82 Abs. 1 des Gesetzes vom 20. Juli 1990 über die Bauordnung (BauO) (GBl. I Nr. 50 S. 929) in Verbindung mit § 2 Abs. 2 des Gesetzes vom 20. Juli 1990 zur Einführung des Gesetzes vom 20. Juli 1990 über die Bauordnung (BauO) (GBl. I Nr. 50 S. 950) wird folgendes angeordnet:</w:t>
      </w:r>
    </w:p>
    <w:p>
      <w:r>
        <w:rPr>
          <w:color w:val="555555"/>
          <w:sz w:val="17"/>
        </w:rPr>
        <w:t xml:space="preserve">Zitiervorschlag: Eingangsformel FeuAO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https://recht.nulegal.eu/gesetze/FeuAO/eingangsformel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