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FeuAO — Geltungsbereich, Begriffe</w:t>
      </w:r>
    </w:p>
    <w:p>
      <w:r>
        <w:rPr>
          <w:color w:val="555555"/>
          <w:sz w:val="18"/>
        </w:rPr>
        <w:t xml:space="preserve">Feuerungsanordnung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Anordnung gilt für</w:t>
      </w:r>
    </w:p>
    <w:p>
      <w:pPr>
        <w:ind w:left="420"/>
      </w:pPr>
      <w:r>
        <w:t xml:space="preserve">1. Feuerstätten, Verbindungsstücke, Schornsteine oder andere Abgasanlagen (Feuerungsanlagen),</w:t>
      </w:r>
    </w:p>
    <w:p>
      <w:pPr>
        <w:ind w:left="420"/>
      </w:pPr>
      <w:r>
        <w:t xml:space="preserve">2. Anlagen zur Verteilung von Wärme,</w:t>
      </w:r>
    </w:p>
    <w:p>
      <w:pPr>
        <w:ind w:left="420"/>
      </w:pPr>
      <w:r>
        <w:t xml:space="preserve">3. Anlagen zur Warmwasserversorgung,</w:t>
      </w:r>
    </w:p>
    <w:p>
      <w:pPr>
        <w:ind w:left="420"/>
      </w:pPr>
      <w:r>
        <w:t xml:space="preserve">4. Leitungen für Brennstoffe,</w:t>
      </w:r>
    </w:p>
    <w:p>
      <w:pPr>
        <w:ind w:left="420"/>
      </w:pPr>
      <w:r>
        <w:t xml:space="preserve">5. Aufstellräume von Feuerstätten.</w:t>
      </w:r>
    </w:p>
    <w:p>
      <w:r>
        <w:t xml:space="preserve">(2) Diese Anordnung gilt nicht für Dampfkesselanlagen mit Dampfkesseln der Gruppe IV im Sinne der Verordnung über Dampfkesselanlagen (Dampfkesselverordnung - DampfkV) vom 27. Februar 1980 (BGBl. I S. 173) mit der Änderung vom 16. Dezember 1986 (BGBl. I S. 2441).</w:t>
      </w:r>
    </w:p>
    <w:p>
      <w:r>
        <w:t xml:space="preserve">(3) Im Sinne dieser Anordnung sind</w:t>
      </w:r>
    </w:p>
    <w:p>
      <w:pPr>
        <w:ind w:left="420"/>
      </w:pPr>
      <w:r>
        <w:t xml:space="preserve">1. Nennwärmeleistung</w:t>
      </w:r>
    </w:p>
    <w:p>
      <w:pPr>
        <w:ind w:left="780"/>
      </w:pPr>
      <w:r>
        <w:t xml:space="preserve">a) die auf dem Typenschild der Feuerstätte angegebene Leistung oder</w:t>
      </w:r>
    </w:p>
    <w:p>
      <w:pPr>
        <w:ind w:left="780"/>
      </w:pPr>
      <w:r>
        <w:t xml:space="preserve">b) die in den Grenzen des auf dem Typenbild angegebenen Wärmeleistungsbereiches fest eingestellte höchste Leistung, im übrigen</w:t>
      </w:r>
    </w:p>
    <w:p>
      <w:pPr>
        <w:ind w:left="780"/>
      </w:pPr>
      <w:r>
        <w:t xml:space="preserve">c) die aus dem Brennstoffdurchsatz und einem Wirkungsgrad von 80 vom Hundert ermittelte Leistung,</w:t>
      </w:r>
    </w:p>
    <w:p>
      <w:pPr>
        <w:ind w:left="420"/>
      </w:pPr>
      <w:r>
        <w:t xml:space="preserve">2. höchstmögliche Wärmeleistung in den Fällen der Nr. 1 Buchstabe a und c die Nennwärmeleistung, im Falle der Nr. 1 Buchstabe b die obere Grenze des Leistungsbereiches.</w:t>
      </w:r>
    </w:p>
    <w:p>
      <w:r>
        <w:rPr>
          <w:color w:val="555555"/>
          <w:sz w:val="17"/>
        </w:rPr>
        <w:t xml:space="preserve">Zitiervorschlag: § 1 FeuAO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https://recht.nulegal.eu/gesetze/FeuAO/1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