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FestLSockelOWiZustV</w:t>
      </w:r>
    </w:p>
    <w:p>
      <w:r>
        <w:rPr>
          <w:color w:val="555555"/>
          <w:sz w:val="18"/>
        </w:rPr>
        <w:t xml:space="preserve">Verordnung über die Zuständigkeit für die Verfolgung und Ahndung von Ordnungswidrigkeiten im Bereich des Festlandsockels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FestLSockelOWiZustV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https://recht.nulegal.eu/gesetze/FestLSockelOWiZustV/3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