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10 FertigungsMechAusbV — Inkrafttreten, Außerkrafttreten</w:t>
      </w:r>
    </w:p>
    <w:p>
      <w:r>
        <w:rPr>
          <w:color w:val="555555"/>
          <w:sz w:val="18"/>
        </w:rPr>
        <w:t xml:space="preserve">Verordnung über die Berufsausbildung zum Fertigungsmechaniker und zur Fertigungsmechanikerin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Diese Verordnung tritt am 1. August 2013 in Kraft. Gleichzeitig tritt die Verordnung über die Berufsausbildung zum Fertigungsmechaniker/zur Fertigungsmechanikerin vom 20. Juni 1997 (BGBl. I S. 1453) außer Kraft.</w:t>
      </w:r>
    </w:p>
    <w:p>
      <w:r>
        <w:rPr>
          <w:color w:val="555555"/>
          <w:sz w:val="17"/>
        </w:rPr>
        <w:t xml:space="preserve">Zitiervorschlag: § 10 FertigungsMechAusbV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https://recht.nulegal.eu/gesetze/FertigungsMechAusbV/10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