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FertigPackV 1981 — Übergangsvorschriften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Historische Fassung: Stand 10.06.2019 bis 01.12.2020. Dies ist nicht die aktuelle Fassung.</w:t>
      </w:r>
    </w:p>
    <w:p>
      <w:r>
        <w:t xml:space="preserve">Die nach früheren Vorschriften erteilten Fabrikmarken für Flaschen gelten als Herstellerzeichen im Sinne dieser Verordnung.</w:t>
      </w:r>
    </w:p>
    <w:p>
      <w:r>
        <w:rPr>
          <w:color w:val="555555"/>
          <w:sz w:val="17"/>
        </w:rPr>
        <w:t xml:space="preserve">Zitiervorschlag: § 37 FertigPackV 1981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https://recht.nulegal.eu/gesetze/FertigPackV%201981/37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