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FertigPackV 1981 — Nachschau</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Die Einhaltung folgender Vorschriften ist von den zuständigen Behörden durch Stichproben zu prüfen: die Einhaltung</w:t>
      </w:r>
    </w:p>
    <w:p>
      <w:pPr>
        <w:ind w:left="420"/>
      </w:pPr>
      <w:r>
        <w:t xml:space="preserve">1. der §§ 22 bis 24, des § 32 Absatz 1 bis 3, des § 33 Absatz 1 bis 3 und</w:t>
      </w:r>
    </w:p>
    <w:p>
      <w:pPr>
        <w:ind w:left="420"/>
      </w:pPr>
      <w:r>
        <w:t xml:space="preserve">2. des Artikels 9 Absatz 1 Buchstabe e in Verbindung mit Artikel 23 Absatz 1 und 3 und in Verbindung mit Anhang IX Nummer 3 Satz 1, Nummer 4 und 5 Satz 1 der Verordnung (EU) Nr. 1169/2011 und des Artikels 9 Absatz 1 Buchstabe h der Verordnung (EU) Nr. 1169/2011.</w:t>
      </w:r>
    </w:p>
    <w:p>
      <w:r>
        <w:t xml:space="preserve">Die Prüfung kann bei der Herstellung oder dem Verbringen in den Geltungsbereich dieser Verordnung und in allen Stufen des Handels erfolgen. Für die Prüfung ist das Verfahren zur Prüfung der Füllmengen von Fertigpackungen der Anlagen 4a und 4b anzuwenden. Für die Prüfung von Fertigpackungen ungleicher Nennfüllmenge gelten die Sätze 1 und 2 entsprechend.</w:t>
      </w:r>
    </w:p>
    <w:p>
      <w:r>
        <w:t xml:space="preserve">(2) Die Einhaltung der Vorschriften des § 3 ist von der zuständigen Behörde durch Stichproben in den Betrieben zu prüfen, die Maßbehältnisse herstellen oder in den Geltungsbereich dieser Verordnung verbringen. Für die Prüfung ist das Verfahren zur Prüfung von Maßbehältnissen der Anlage 5 anzuwenden.</w:t>
      </w:r>
    </w:p>
    <w:p>
      <w:r>
        <w:rPr>
          <w:color w:val="555555"/>
          <w:sz w:val="17"/>
        </w:rPr>
        <w:t xml:space="preserve">Zitiervorschlag: § 34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