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33a FertigPackV 1981 — Ausnahmen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(1) Die Vorschriften dieser Verordnung gelten nicht für</w:t>
      </w:r>
    </w:p>
    <w:p>
      <w:pPr>
        <w:ind w:left="420"/>
      </w:pPr>
      <w:r>
        <w:t xml:space="preserve">1. Fertigpackungen, die zum Verbringen aus dem Geltungsbereich dieser Verordnung oder für die Ausrüstung von Seeschiffen bestimmt sind, ausgenommen Fertigpackungen mit dem EWG-Zeichen der Anlage 9,</w:t>
      </w:r>
    </w:p>
    <w:p>
      <w:pPr>
        <w:ind w:left="420"/>
      </w:pPr>
      <w:r>
        <w:t xml:space="preserve">2. Fertigpackungen, deren Menge nicht nach Gewicht, Volumen oder Länge zu kennzeichnen ist und die an Letztverbraucher abgegeben werden, die das Erzeugnis in ihrer selbständigen beruflichen oder gewerblichen Tätigkeit verwenden,</w:t>
      </w:r>
    </w:p>
    <w:p>
      <w:pPr>
        <w:ind w:left="420"/>
      </w:pPr>
      <w:r>
        <w:t xml:space="preserve">3. Gratisproben, die als solche gekennzeichnet sind,</w:t>
      </w:r>
    </w:p>
    <w:p>
      <w:pPr>
        <w:ind w:left="420"/>
      </w:pPr>
      <w:r>
        <w:t xml:space="preserve">4. geeichte formbeständige Behältnisse.</w:t>
      </w:r>
    </w:p>
    <w:p>
      <w:r>
        <w:t xml:space="preserve">(2) Diese Verordnung ist nicht anzuwenden, soweit ihr Bestimmungen entgegenstehen aus</w:t>
      </w:r>
    </w:p>
    <w:p>
      <w:pPr>
        <w:ind w:left="420"/>
      </w:pPr>
      <w:r>
        <w:t xml:space="preserve">1.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oder</w:t>
      </w:r>
    </w:p>
    <w:p>
      <w:pPr>
        <w:ind w:left="420"/>
      </w:pPr>
      <w:r>
        <w:t xml:space="preserve">2. den auf die Verordnung (EU) Nr. 1169/2011 gestützten Rechtsakten der Europäischen Union.</w:t>
      </w:r>
    </w:p>
    <w:p>
      <w:r>
        <w:t xml:space="preserve">Dabei ist der Vorrang der nach Artikel 42 der Verordnung (EU) Nr. 1169/2011 der Europäischen Kommission mitgeteilten und im Bundesanzeiger durch das Bundesministerium für Wirtschaft und Energie bekannt gemachten nationalen Vorschriften zu beachten.</w:t>
      </w:r>
    </w:p>
    <w:p>
      <w:r>
        <w:rPr>
          <w:color w:val="555555"/>
          <w:sz w:val="17"/>
        </w:rPr>
        <w:t xml:space="preserve">Zitiervorschlag: § 33a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