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FertigPackV 1981 — Verkaufseinheiten ohne Umhüllung</w:t>
      </w:r>
    </w:p>
    <w:p>
      <w:r>
        <w:rPr>
          <w:color w:val="555555"/>
          <w:sz w:val="18"/>
        </w:rPr>
        <w:t xml:space="preserve">Fertigpackungsverordnung</w:t>
      </w:r>
    </w:p>
    <w:p>
      <w:r>
        <w:rPr>
          <w:color w:val="555555"/>
          <w:sz w:val="18"/>
        </w:rPr>
        <w:t xml:space="preserve">Historische Fassung: Stand 10.06.2019 bis 01.12.2020. Dies ist nicht die aktuelle Fassung.</w:t>
      </w:r>
    </w:p>
    <w:p>
      <w:r>
        <w:t xml:space="preserve">(1) Verkaufseinheiten gleichen Nenngewichts, gleicher Nennlänge oder gleicher Nennfläche ohne Umhüllung mit den nachstehend genannten Erzeugnissen (Verkaufseinheiten) dürfen gewerbsmäßig nur so hergestellt werden, daß das Gewicht, die Länge oder die Fläche zum Zeitpunkt der Herstellung im Mittel das Nenngewicht, die Nennlänge oder die Nennfläche nicht unterschreitet:</w:t>
      </w:r>
    </w:p>
    <w:p>
      <w:pPr>
        <w:ind w:left="420"/>
      </w:pPr>
      <w:r>
        <w:t xml:space="preserve">- Bänder, Litzen und Garne jeder Art,</w:t>
      </w:r>
    </w:p>
    <w:p>
      <w:pPr>
        <w:ind w:left="420"/>
      </w:pPr>
      <w:r>
        <w:t xml:space="preserve">- Draht,</w:t>
      </w:r>
    </w:p>
    <w:p>
      <w:pPr>
        <w:ind w:left="420"/>
      </w:pPr>
      <w:r>
        <w:t xml:space="preserve">- Kabel,</w:t>
      </w:r>
    </w:p>
    <w:p>
      <w:pPr>
        <w:ind w:left="420"/>
      </w:pPr>
      <w:r>
        <w:t xml:space="preserve">- Schläuche,</w:t>
      </w:r>
    </w:p>
    <w:p>
      <w:pPr>
        <w:ind w:left="420"/>
      </w:pPr>
      <w:r>
        <w:t xml:space="preserve">- Tapeten,</w:t>
      </w:r>
    </w:p>
    <w:p>
      <w:pPr>
        <w:ind w:left="420"/>
      </w:pPr>
      <w:r>
        <w:t xml:space="preserve">- flächige Textilerzeugnisse mit einer Fläche von mehr als 0,4 Quadratmeter,</w:t>
      </w:r>
    </w:p>
    <w:p>
      <w:pPr>
        <w:ind w:left="420"/>
      </w:pPr>
      <w:r>
        <w:t xml:space="preserve">- Geflechte und Gewebe jeder Art.</w:t>
      </w:r>
    </w:p>
    <w:p>
      <w:r>
        <w:t xml:space="preserve">(2) Verkaufseinheiten dürfen gewerbsmäßig nur in den Geltungsbereich dieser Verordnung verbracht werden, wenn das Gewicht, die Länge oder die Fläche zum Zeitpunkt der Herstellung im Mittel das Nenngewicht, die Nennlänge oder die Nennfläche nicht unterschreitet.</w:t>
      </w:r>
    </w:p>
    <w:p>
      <w:r>
        <w:t xml:space="preserve">(3) Verkaufseinheiten dürfen erstmals gewerbsmäßig nur in den Verkehr gebracht werden, wenn ihr Gewicht, ihre Länge oder ihre Fläche die in den §§ 22 und 23 festgelegten Minusabweichungen nicht überschreitet.</w:t>
      </w:r>
    </w:p>
    <w:p>
      <w:r>
        <w:t xml:space="preserve">(4) Verkaufseinheiten dürfen ohne Verwendung von Meßgeräten hergestellt und in den Verkehr gebracht werden. Meßgeräte, die nur zur Herstellung von Verkaufseinheiten verwendet werden, sind von der Eichpflicht ausgenommen.</w:t>
      </w:r>
    </w:p>
    <w:p>
      <w:r>
        <w:t xml:space="preserve">(5) Verkaufseinheiten dürfen gewerbsmäßig nur in den Verkehr gebracht werden, wenn auf ihnen das Gewicht, die Länge oder die Fläche leicht erkennbar und deutlich lesbar angegeben ist. Sofern nicht die Angabe in einer bestimmten Größe vorgeschrieben ist, hat sie der allgemeinen Verkehrsauffassung zu entsprechen.</w:t>
      </w:r>
    </w:p>
    <w:p>
      <w:r>
        <w:t xml:space="preserve">(6) § 6 Abs. 2 Nr. 2 und 3 des Eichgesetzes und die § 6 Abs. 2, 5 und 6, § 18 Abs. 2 und 4, §§ 29 bis 31 Abs. 1 und § 33a Nr. 1 und 3 dieser Verordnung gelten entsprechend. Für die Einhaltung der Verpflichtungen nach den Absätzen 1 und 3 gilt § 27 entsprechend.</w:t>
      </w:r>
    </w:p>
    <w:p>
      <w:r>
        <w:t xml:space="preserve">(7) Die Absätze 1 und 6 gelten nicht für Verkaufseinheiten, die ausschließlich für Letztverbraucher bestimmt sind, die das Erzeugnis in ihrer selbständigen beruflichen oder gewerblichen Tätigkeit verwenden.</w:t>
      </w:r>
    </w:p>
    <w:p>
      <w:r>
        <w:rPr>
          <w:color w:val="555555"/>
          <w:sz w:val="17"/>
        </w:rPr>
        <w:t xml:space="preserve">Zitiervorschlag: § 33 FertigPackV 1981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https://recht.nulegal.eu/gesetze/FertigPackV%201981/33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