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FertigPackV 1981 — Verwendung von Meßgeräten</w:t>
      </w:r>
    </w:p>
    <w:p>
      <w:r>
        <w:rPr>
          <w:color w:val="555555"/>
          <w:sz w:val="18"/>
        </w:rPr>
        <w:t xml:space="preserve">Fertigpackungsverordnung</w:t>
      </w:r>
    </w:p>
    <w:p>
      <w:r>
        <w:rPr>
          <w:color w:val="555555"/>
          <w:sz w:val="18"/>
        </w:rPr>
        <w:t xml:space="preserve">Historische Fassung: Stand 10.06.2019 bis 01.12.2020. Dies ist nicht die aktuelle Fassung.</w:t>
      </w:r>
    </w:p>
    <w:p>
      <w:r>
        <w:t xml:space="preserve">Fertigpackungen gleicher Nennfüllmenge dürfen ohne Verwendung von Meßgeräten hergestellt und in den Verkehr gebracht werden, wenn die §§ 22 bis 24 und 27 eingehalten sind. Unter der gleichen Voraussetzung sind Meßgeräte, die nur zur Herstellung von Fertigpackungen gleicher Nennfüllmenge verwendet werden, von der Eichpflicht ausgenommen.</w:t>
      </w:r>
    </w:p>
    <w:p>
      <w:r>
        <w:rPr>
          <w:color w:val="555555"/>
          <w:sz w:val="17"/>
        </w:rPr>
        <w:t xml:space="preserve">Zitiervorschlag: § 28 FertigPackV 1981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https://recht.nulegal.eu/gesetze/FertigPackV%201981/28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