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FertigPackV 1981 — Bezugstemperatur</w:t>
      </w:r>
    </w:p>
    <w:p>
      <w:r>
        <w:rPr>
          <w:color w:val="555555"/>
          <w:sz w:val="18"/>
        </w:rPr>
        <w:t xml:space="preserve">Fertigpackungsverordnung</w:t>
      </w:r>
    </w:p>
    <w:p>
      <w:r>
        <w:rPr>
          <w:color w:val="555555"/>
          <w:sz w:val="18"/>
        </w:rPr>
        <w:t xml:space="preserve">Historische Fassung: Stand 10.06.2019 bis 01.12.2020. Dies ist nicht die aktuelle Fassung.</w:t>
      </w:r>
    </w:p>
    <w:p>
      <w:r>
        <w:t xml:space="preserve">Die Anforderungen in den §§ 3 und 22 sind auf eine Temperatur von 20 Grad C (Bezugstemperatur) bezogen. Die Bezugstemperatur gilt nicht für Speiseeis.</w:t>
      </w:r>
    </w:p>
    <w:p>
      <w:r>
        <w:rPr>
          <w:color w:val="555555"/>
          <w:sz w:val="17"/>
        </w:rPr>
        <w:t xml:space="preserve">Zitiervorschlag: § 26 FertigPackV 1981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https://recht.nulegal.eu/gesetze/FertigPackV%201981/26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