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24 FertigPackV 1981 — Füllmengenanforderungen bei Kennzeichnung nach Stückzahl</w:t>
      </w:r>
    </w:p>
    <w:p>
      <w:r>
        <w:rPr>
          <w:color w:val="555555"/>
          <w:sz w:val="18"/>
        </w:rPr>
        <w:t xml:space="preserve">Fertigpackungsverordnung</w:t>
      </w:r>
    </w:p>
    <w:p>
      <w:r>
        <w:rPr>
          <w:color w:val="555555"/>
          <w:sz w:val="18"/>
        </w:rPr>
        <w:t xml:space="preserve">Historische Fassung: Stand 10.06.2019 bis 01.12.2020. Dies ist nicht die aktuelle Fassung.</w:t>
      </w:r>
    </w:p>
    <w:p>
      <w:r>
        <w:t xml:space="preserve">(1) Nach Stückzahl gekennzeichnete Fertigpackungen gleicher Nennfüllmenge mit einer Nennfüllmenge von 30 Stück oder weniger dürfen erstmals gewerbsmäßig nur in den Verkehr gebracht werden, wenn sie mindestens die angegebene Menge enthalten.</w:t>
      </w:r>
    </w:p>
    <w:p>
      <w:r>
        <w:t xml:space="preserve">(2) Nach Stückzahl gekennzeichnete Fertigpackungen gleicher Nennfüllmenge mit einer Nennfüllmenge von mehr als 30 Stück dürfen erstmals gewerbsmäßig nur in den Verkehr gebracht werden, wenn</w:t>
      </w:r>
    </w:p>
    <w:p>
      <w:pPr>
        <w:ind w:left="420"/>
      </w:pPr>
      <w:r>
        <w:t xml:space="preserve">1. die Füllmenge im Mittel die Nennfüllmenge nicht unterschreitet und</w:t>
      </w:r>
    </w:p>
    <w:p>
      <w:pPr>
        <w:ind w:left="420"/>
      </w:pPr>
      <w:r>
        <w:t xml:space="preserve">2. die Minusabweichung von der Nennfüllmenge ein Stück auf jedes angefangene Hundert nicht überschreitet.</w:t>
      </w:r>
    </w:p>
    <w:p>
      <w:r>
        <w:rPr>
          <w:color w:val="555555"/>
          <w:sz w:val="17"/>
        </w:rPr>
        <w:t xml:space="preserve">Zitiervorschlag: § 24 FertigPackV 1981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https://recht.nulegal.eu/gesetze/FertigPackV%201981/24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