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FertigPackV 1981 — Füllmengenanforderungen bei Kennzeichnung nach Länge oder Fläche</w:t>
      </w:r>
    </w:p>
    <w:p>
      <w:r>
        <w:rPr>
          <w:color w:val="555555"/>
          <w:sz w:val="18"/>
        </w:rPr>
        <w:t xml:space="preserve">Fertigpackungsverordnung</w:t>
      </w:r>
    </w:p>
    <w:p>
      <w:r>
        <w:rPr>
          <w:color w:val="555555"/>
          <w:sz w:val="18"/>
        </w:rPr>
        <w:t xml:space="preserve">Historische Fassung: Stand 10.06.2019 bis 01.12.2020. Dies ist nicht die aktuelle Fassung.</w:t>
      </w:r>
    </w:p>
    <w:p>
      <w:r>
        <w:t xml:space="preserve">(1) Nach Länge oder Fläche gekennzeichnete Fertigpackungen gleicher Nennfüllmenge dürfen gewerbsmäßig nur so hergestellt werden, daß die Füllmenge zum Zeitpunkt der Herstellung im Mittel die Nennfüllmenge nicht unterschreitet.</w:t>
      </w:r>
    </w:p>
    <w:p>
      <w:r>
        <w:t xml:space="preserve">(2) Nach Länge oder Fläche gekennzeichnete Fertigpackungen gleicher Nennfüllmenge dürfen gewerbsmäßig nur in den Geltungsbereich dieser Verordnung verbracht werden, wenn die Füllmenge zum Zeitpunkt der Herstellung im Mittel die Nennfüllmenge nicht unterschreitet.</w:t>
      </w:r>
    </w:p>
    <w:p>
      <w:r>
        <w:t xml:space="preserve">(3) Nach Länge oder Fläche gekennzeichnete Fertigpackungen gleicher Nennfüllmenge dürfen erstmals gewerbsmäßig nur in den Verkehr gebracht werden, wenn die Minusabweichung von der Nennfüllmenge bei einer Kennzeichnung</w:t>
      </w:r>
    </w:p>
    <w:p>
      <w:pPr>
        <w:ind w:left="420"/>
      </w:pPr>
      <w:r>
        <w:t xml:space="preserve">- nach Länge 2 vom Hundert,</w:t>
      </w:r>
    </w:p>
    <w:p>
      <w:pPr>
        <w:ind w:left="420"/>
      </w:pPr>
      <w:r>
        <w:t xml:space="preserve">- nach Fläche 3 vom Hundert</w:t>
      </w:r>
    </w:p>
    <w:p>
      <w:r>
        <w:t xml:space="preserve">nicht überschreitet. Abweichend davon darf die Minusabweichung bei Garnen mit einer Nennlänge von 100 Meter und weniger 4 vom Hundert nicht überschreiten.</w:t>
      </w:r>
    </w:p>
    <w:p>
      <w:r>
        <w:t xml:space="preserve">(4) Als Fläche gilt auch das Produkt aus gekennzeichneter Länge und Breite.</w:t>
      </w:r>
    </w:p>
    <w:p>
      <w:r>
        <w:t xml:space="preserve">(5) Für Verbandstoffe, Heftpflaster und Wundschnellverbände gelten nur die Anforderungen nach den Absätzen 1 und 2. Für Erzeugnisse, für die im Arzneibuch Anforderungen an die Länge festgelegt sind, gelten diese Anforderungen. Für Reißverschlüsse gelten die in den allgemein anerkannten Regeln der Technik festgelegten Anforderungen.</w:t>
      </w:r>
    </w:p>
    <w:p>
      <w:r>
        <w:rPr>
          <w:color w:val="555555"/>
          <w:sz w:val="17"/>
        </w:rPr>
        <w:t xml:space="preserve">Zitiervorschlag: § 23 FertigPackV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https://recht.nulegal.eu/gesetze/FertigPackV%201981/23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