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FertigPackV 1981 — Füllmengenanforderungen bei Kennzeichnung nach Gewicht oder Volumen</w:t>
      </w:r>
    </w:p>
    <w:p>
      <w:r>
        <w:rPr>
          <w:color w:val="555555"/>
          <w:sz w:val="18"/>
        </w:rPr>
        <w:t xml:space="preserve">Fertigpackungsverordnung</w:t>
      </w:r>
    </w:p>
    <w:p>
      <w:r>
        <w:rPr>
          <w:color w:val="555555"/>
          <w:sz w:val="18"/>
        </w:rPr>
        <w:t xml:space="preserve">Historische Fassung: Stand 10.06.2019 bis 01.12.2020. Dies ist nicht die aktuelle Fassung.</w:t>
      </w:r>
    </w:p>
    <w:p>
      <w:r>
        <w:t xml:space="preserve">(1) Nach Gewicht oder Volumen gekennzeichnete Fertigpackungen gleicher Nennfüllmenge dürfen gewerbsmäßig nur so hergestellt werden, daß die Füllmenge zum Zeitpunkt der Herstellung</w:t>
      </w:r>
    </w:p>
    <w:p>
      <w:pPr>
        <w:ind w:left="420"/>
      </w:pPr>
      <w:r>
        <w:t xml:space="preserve">1. im Mittel die Nennfüllmenge nicht unterschreitet und</w:t>
      </w:r>
    </w:p>
    <w:p>
      <w:pPr>
        <w:ind w:left="420"/>
      </w:pPr>
      <w:r>
        <w:t xml:space="preserve">2. die in Absatz 3 festgelegten Werte für die Minusabweichung von der Nennfüllmenge nicht überschreitet.</w:t>
      </w:r>
    </w:p>
    <w:p>
      <w:r>
        <w:t xml:space="preserve">(2) Nach Gewicht oder Volumen gekennzeichnete Fertigpackungen gleicher Nennfüllmenge dürfen gewerbsmäßig nur in den Geltungsbereich dieser Verordnung verbracht werden, wenn die Füllmenge zum Zeitpunkt der Herstellung</w:t>
      </w:r>
    </w:p>
    <w:p>
      <w:pPr>
        <w:ind w:left="420"/>
      </w:pPr>
      <w:r>
        <w:t xml:space="preserve">1. im Mittel die Nennfüllmenge nicht unterschreitet und</w:t>
      </w:r>
    </w:p>
    <w:p>
      <w:pPr>
        <w:ind w:left="420"/>
      </w:pPr>
      <w:r>
        <w:t xml:space="preserve">2. die in Absatz 3 festgelegten Werte für die Minusabweichung von der Nennfüllmenge nicht überschreitet.</w:t>
      </w:r>
    </w:p>
    <w:p>
      <w:r>
        <w:t xml:space="preserve">(3) Die zulässigen Minusabweichungen betragen:</w:t>
      </w:r>
    </w:p>
    <w:p>
      <w:r>
        <w:rPr>
          <w:rFonts w:ascii="Courier New" w:hAnsi="Courier New"/>
          <w:sz w:val="17"/>
        </w:rPr>
        <w:t xml:space="preserve">Nennfüllmenge QN    Zulässige Minusabweichung</w:t>
      </w:r>
    </w:p>
    <w:p>
      <w:r>
        <w:rPr>
          <w:rFonts w:ascii="Courier New" w:hAnsi="Courier New"/>
          <w:sz w:val="17"/>
        </w:rPr>
        <w:t xml:space="preserve">in g oder ml    in % von QN    in g oder ml</w:t>
      </w:r>
    </w:p>
    <w:p>
      <w:r>
        <w:rPr>
          <w:rFonts w:ascii="Courier New" w:hAnsi="Courier New"/>
          <w:sz w:val="17"/>
        </w:rPr>
        <w:t xml:space="preserve">5 bis 50    9    -</w:t>
      </w:r>
    </w:p>
    <w:p>
      <w:r>
        <w:rPr>
          <w:rFonts w:ascii="Courier New" w:hAnsi="Courier New"/>
          <w:sz w:val="17"/>
        </w:rPr>
        <w:t xml:space="preserve">50 bis 100    -    4,5</w:t>
      </w:r>
    </w:p>
    <w:p>
      <w:r>
        <w:rPr>
          <w:rFonts w:ascii="Courier New" w:hAnsi="Courier New"/>
          <w:sz w:val="17"/>
        </w:rPr>
        <w:t xml:space="preserve">100 bis 200    4,5    -</w:t>
      </w:r>
    </w:p>
    <w:p>
      <w:r>
        <w:rPr>
          <w:rFonts w:ascii="Courier New" w:hAnsi="Courier New"/>
          <w:sz w:val="17"/>
        </w:rPr>
        <w:t xml:space="preserve">200 bis 300    -    9</w:t>
      </w:r>
    </w:p>
    <w:p>
      <w:r>
        <w:rPr>
          <w:rFonts w:ascii="Courier New" w:hAnsi="Courier New"/>
          <w:sz w:val="17"/>
        </w:rPr>
        <w:t xml:space="preserve">300 bis 500    3    -</w:t>
      </w:r>
    </w:p>
    <w:p>
      <w:r>
        <w:rPr>
          <w:rFonts w:ascii="Courier New" w:hAnsi="Courier New"/>
          <w:sz w:val="17"/>
        </w:rPr>
        <w:t xml:space="preserve">500 bis 1.000    -    15</w:t>
      </w:r>
    </w:p>
    <w:p>
      <w:r>
        <w:rPr>
          <w:rFonts w:ascii="Courier New" w:hAnsi="Courier New"/>
          <w:sz w:val="17"/>
        </w:rPr>
        <w:t xml:space="preserve">1.000 bis 10.000    1,5    -</w:t>
      </w:r>
    </w:p>
    <w:p>
      <w:r>
        <w:t xml:space="preserve">Bei der Anwendung dieser Tabelle sind die in Gewichts- oder Volumeneinheiten berechneten Werte der zulässigen Minusabweichung, die in Prozent angegeben sind, auf 0,1 Gramm oder 0,1 Milliliter aufzurunden. Die Minusabweichungen dürfen von höchstens 2 vom Hundert der Fertigpackungen überschritten werden.</w:t>
      </w:r>
    </w:p>
    <w:p>
      <w:r>
        <w:t xml:space="preserve">(4) Nach Gewicht oder Volumen gekennzeichnete Fertigpackungen gleicher Nennfüllmenge dürfen erstmals gewerbsmäßig nur in den Verkehr gebracht werden, wenn die Minusabweichung von der Nennfüllmenge das Zweifache der in der Tabelle des Absatzes 3 festgelegten Werte nicht überschreitet.</w:t>
      </w:r>
    </w:p>
    <w:p>
      <w:r>
        <w:t xml:space="preserve">(5) Für Fertigpackungen mit gefrorenem oder tiefgefrorenem Geflügelfleisch nach Artikel 8 der Verordnung (EWG) Nr. 1538/91 der Kommission vom 5. Juni 1991 mit ausführlichen Durchführungsvorschriften zur Verordnung (EWG) Nr. 1906/90 des Rates über bestimmte Vermarktungsnormen für Geflügelfleisch (ABl. EG Nr. L 143 S. 11), zuletzt geändert durch die Verordnung (EG) Nr. 1474/2007 der Kommission vom 13. Dezember 2007 (ABl. EU Nr. L 329 S. 14), gelten die dort in Artikel 8 Abs. 4 festgelegten Füllmengenanforderungen.</w:t>
      </w:r>
    </w:p>
    <w:p>
      <w:r>
        <w:rPr>
          <w:color w:val="555555"/>
          <w:sz w:val="17"/>
        </w:rPr>
        <w:t xml:space="preserve">Zitiervorschlag: § 22 FertigPackV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https://recht.nulegal.eu/gesetze/FertigPackV%201981/22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