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FertigPackV 1981 — EWG-Zeichen für Fertigpackungen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(1) Das in Anlage 9 wiedergegebene EWG-Zeichen darf auf Fertigpackungen gleicher Nennfüllmenge aufgebracht werden, wenn die in den §§ 6, 7, 18 Abs. 1 und 4, § 20 Abs. 1, §§ 22, 26, 27 und 29 Abs. 1 festgelegten Anforderungen erfüllt sind und die Nennfüllmenge nicht weniger als 5 Gramm oder Milliliter und nicht mehr als 10 Kilogramm oder Liter beträgt. Ist neben der gesamten Füllmenge auch das Abtropfgewicht anzugeben, so bezieht sich das EWG-Zeichen nur auf die gesamte Füllmenge.</w:t>
      </w:r>
    </w:p>
    <w:p>
      <w:r>
        <w:t xml:space="preserve">(2) Das EWG-Zeichen muß im gleichen Sichtfeld wie die Angabe der Nennfüllmenge liegen.</w:t>
      </w:r>
    </w:p>
    <w:p>
      <w:r>
        <w:rPr>
          <w:color w:val="555555"/>
          <w:sz w:val="17"/>
        </w:rPr>
        <w:t xml:space="preserve">Zitiervorschlag: § 21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