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FertigPackV 1981 — Art und Weise der Füllmengenangabe</w:t>
      </w:r>
    </w:p>
    <w:p>
      <w:r>
        <w:rPr>
          <w:color w:val="555555"/>
          <w:sz w:val="18"/>
        </w:rPr>
        <w:t xml:space="preserve">Fertigpackungsverordnung</w:t>
      </w:r>
    </w:p>
    <w:p>
      <w:r>
        <w:rPr>
          <w:color w:val="555555"/>
          <w:sz w:val="18"/>
        </w:rPr>
        <w:t xml:space="preserve">Historische Fassung: Stand 10.06.2019 bis 01.12.2020. Dies ist nicht die aktuelle Fassung.</w:t>
      </w:r>
    </w:p>
    <w:p>
      <w:r>
        <w:t xml:space="preserve">(1) Wer Fertigpackungen gewerbsmäßig in den Verkehr bringt, hat die Füllmenge auf der Fertigpackung leicht erkennbar, deutlich lesbar und unverwischbar anzugeben. Bei Fertigpackungen mit kosmetischen Mitteln, deren Verpackung aus einer Innenverpackung und einer Außenverpackung besteht, ist die Füllmenge auf beiden Verpackungen anzugeben.</w:t>
      </w:r>
    </w:p>
    <w:p>
      <w:r>
        <w:t xml:space="preserve">(2) Wer Fertigpackungen zum alsbaldigen Verkauf überwiegend von Hand herstellt und sie feilhält, darf die Füllmenge durch ein Schild auf oder neben der Fertigpackung angeben.</w:t>
      </w:r>
    </w:p>
    <w:p>
      <w:r>
        <w:t xml:space="preserve">(3) Bei Großpackungen mit frischem Obst und Gemüse, die</w:t>
      </w:r>
    </w:p>
    <w:p>
      <w:pPr>
        <w:ind w:left="420"/>
      </w:pPr>
      <w:r>
        <w:t xml:space="preserve">1. auf einer der Abgabe an den Letztverbraucher vorausgehenden Handelsstufe in den Verkehr gebracht werden oder</w:t>
      </w:r>
    </w:p>
    <w:p>
      <w:pPr>
        <w:ind w:left="420"/>
      </w:pPr>
      <w:r>
        <w:t xml:space="preserve">2. ausschließlich an Letztverbraucher abgegeben werden, die das Erzeugnis in ihrer selbständigen beruflichen oder gewerblichen oder in ihrer behördlichen oder dienstlichen Tätigkeit verwenden,</w:t>
      </w:r>
    </w:p>
    <w:p>
      <w:r>
        <w:t xml:space="preserve">braucht die Füllmenge nur in den Begleitpapieren angegeben zu sein. Großpackungen im Sinne dieser Vorschrift sind Fertigpackungen, die nach ihrer Füllmenge üblicherweise nicht an andere als die in Satz 1 Nr. 2 genannten Letztverbraucher abgegeben werden.</w:t>
      </w:r>
    </w:p>
    <w:p>
      <w:r>
        <w:t xml:space="preserve">(4) Wer Fertigpackungen gewerbsmäßig in den Verkehr bringt, hat die Füllmenge anzugeben</w:t>
      </w:r>
    </w:p>
    <w:p>
      <w:pPr>
        <w:ind w:left="420"/>
      </w:pPr>
      <w:r>
        <w:t xml:space="preserve">- bei Abgabe nach Gewicht in Gramm oder Kilogramm,</w:t>
      </w:r>
    </w:p>
    <w:p>
      <w:pPr>
        <w:ind w:left="420"/>
      </w:pPr>
      <w:r>
        <w:t xml:space="preserve">- bei Abgabe nach Volumen in Milliliter, Zentiliter oder Liter</w:t>
      </w:r>
    </w:p>
    <w:p>
      <w:pPr>
        <w:ind w:left="420"/>
      </w:pPr>
      <w:r>
        <w:t xml:space="preserve">- bei Abgabe nach Länge in Zentimeter oder Meter</w:t>
      </w:r>
    </w:p>
    <w:p>
      <w:pPr>
        <w:ind w:left="420"/>
      </w:pPr>
      <w:r>
        <w:t xml:space="preserve">- bei Abgabe nach Fläche in Quadratzentimeter oder Quadratmeter.</w:t>
      </w:r>
    </w:p>
    <w:p>
      <w:r>
        <w:t xml:space="preserve">(5) Name der Einheit oder das Einheitszeichen ist anzufügen.</w:t>
      </w:r>
    </w:p>
    <w:p>
      <w:r>
        <w:rPr>
          <w:color w:val="555555"/>
          <w:sz w:val="17"/>
        </w:rPr>
        <w:t xml:space="preserve">Zitiervorschlag: § 18 FertigPackV 1981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https://recht.nulegal.eu/gesetze/FertigPackV%201981/18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FertigPackV 1981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