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FertigPackV 1981 — Abtropfgewicht</w:t>
      </w:r>
    </w:p>
    <w:p>
      <w:r>
        <w:rPr>
          <w:color w:val="555555"/>
          <w:sz w:val="18"/>
        </w:rPr>
        <w:t xml:space="preserve">Fertigpackungsverordnung</w:t>
      </w:r>
    </w:p>
    <w:p>
      <w:r>
        <w:rPr>
          <w:color w:val="555555"/>
          <w:sz w:val="18"/>
        </w:rPr>
        <w:t xml:space="preserve">Historische Fassung: Stand 10.06.2019 bis 01.12.2020. Dies ist nicht die aktuelle Fassung.</w:t>
      </w:r>
    </w:p>
    <w:p>
      <w:r>
        <w:t xml:space="preserve">(1) Befindet sich ein festes Lebensmittel in einer Aufgußflüssigkeit, so ist auf der Fertigpackung neben der gesamten Füllmenge auch das Abtropfgewicht dieses Lebensmittels anzugeben. Als Aufgußflüssigkeiten gelten folgende Erzeugnisse - einschließlich ihrer Mischungen -, auch gefroren oder tiefgefroren, sofern sie gegenüber den wesentlichen Bestandteilen der betreffenden Zubereitung nur eine untergeordnete Rolle spielen und folglich für den Kauf nicht ausschlaggebend sind: Wasser, wäßrige Salzlösungen, Salzlake, Genußsäure in wäßriger Lösung, Essig, wäßrige Zuckerlösungen, wäßrige Lösungen von anderen Süßungsstoffen oder -mitteln, Frucht- oder Gemüsesäfte bei Obst und Gemüse.</w:t>
      </w:r>
    </w:p>
    <w:p>
      <w:r>
        <w:t xml:space="preserve">(2) Das Abtropfgewicht ist leicht erkennbar und deutlich lesbar in unmittelbarer Nähe der gesamten Füllmenge und mindestens in gleicher Schriftgröße wie diese anzugeben.</w:t>
      </w:r>
    </w:p>
    <w:p>
      <w:r>
        <w:rPr>
          <w:color w:val="555555"/>
          <w:sz w:val="17"/>
        </w:rPr>
        <w:t xml:space="preserve">Zitiervorschlag: § 11 FertigPackV 1981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https://recht.nulegal.eu/gesetze/FertigPackV%201981/11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