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FertigPackV 1981 — Verbindliche Werte für Nennfüllmengen von Fertigpackungen mit Lebensmitteln</w:t>
      </w:r>
    </w:p>
    <w:p>
      <w:r>
        <w:rPr>
          <w:color w:val="555555"/>
          <w:sz w:val="18"/>
        </w:rPr>
        <w:t xml:space="preserve">Fertigpackungsverordnung</w:t>
      </w:r>
    </w:p>
    <w:p>
      <w:r>
        <w:rPr>
          <w:color w:val="555555"/>
          <w:sz w:val="18"/>
        </w:rPr>
        <w:t xml:space="preserve">Historische Fassung: Stand 10.06.2019 bis 01.12.2020. Dies ist nicht die aktuelle Fassung.</w:t>
      </w:r>
    </w:p>
    <w:p>
      <w:r>
        <w:t xml:space="preserve">(1) Fertigpackungen mit den in Anlage 1 unter Nummer 2 aufgeführten Erzeugnissen und einer Nennfüllmenge, die innerhalb der in Anlage 1 unter Nummer 1 genannten Füllmengenbereiche liegt, dürfen gewerbsmäßig nur dann in Verkehr gebracht werden, wenn die Nennfüllmenge einem der in Anlage 1 unter Nummer 1 aufgeführten Werte entspricht.</w:t>
      </w:r>
    </w:p>
    <w:p>
      <w:r>
        <w:t xml:space="preserve">(2) Bei Sammelpackungen ist Absatz 1 nur auf die einzelnen Fertigpackungen anzuwenden.</w:t>
      </w:r>
    </w:p>
    <w:p>
      <w:r>
        <w:t xml:space="preserve">(3) Absatz 1 gilt nicht für Erzeugnisse, die in Duty-Free-Geschäften für den Verzehr außerhalb der Europäischen Union verkauft werden.</w:t>
      </w:r>
    </w:p>
    <w:p>
      <w:r>
        <w:rPr>
          <w:color w:val="555555"/>
          <w:sz w:val="17"/>
        </w:rPr>
        <w:t xml:space="preserve">Zitiervorschlag: § 1 FertigPackV 1981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https://recht.nulegal.eu/gesetze/FertigPackV%201981/1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