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FernstrÜG — Anordnungskompetenz des Bundes</w:t>
      </w:r>
    </w:p>
    <w:p>
      <w:r>
        <w:rPr>
          <w:color w:val="555555"/>
          <w:sz w:val="18"/>
        </w:rPr>
        <w:t xml:space="preserve">Fernstraßen-Überleitungsgesetz</w:t>
      </w:r>
    </w:p>
    <w:p>
      <w:r>
        <w:rPr>
          <w:color w:val="555555"/>
          <w:sz w:val="18"/>
        </w:rPr>
        <w:t xml:space="preserve">Stand: 28.11.2025 (konsolidierte Textfassung, kein amtliches Inkrafttretensdatum)</w:t>
      </w:r>
    </w:p>
    <w:p>
      <w:r>
        <w:t xml:space="preserve">Das Bundesministerium für Verkehr ist berechtigt, gegenüber den Ländern die notwendigen Anordnungen durch Erlass zu treffen, um eine einheitliche, ordnungsgemäße und rechtzeitige Erfassung und Dokumentation im Sinne des § 1 Absatz 1 und 2 sowie den frist- und formgerechten Angaben im Sinne des § 1 Absatz 3 durch die obersten Straßenbaubehörden der Länder zu gewährleisten.</w:t>
      </w:r>
    </w:p>
    <w:p>
      <w:r>
        <w:rPr>
          <w:color w:val="555555"/>
          <w:sz w:val="17"/>
        </w:rPr>
        <w:t xml:space="preserve">Zitiervorschlag: § 2 FernstrÜG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https://recht.nulegal.eu/gesetze/Fernstr%C3%9CG/2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