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FernUnterStV (Bayern) — Wesentliche Änderungen, unvollständige Fernlehrgänge</w:t>
      </w:r>
    </w:p>
    <w:p>
      <w:r>
        <w:rPr>
          <w:color w:val="555555"/>
          <w:sz w:val="18"/>
        </w:rPr>
        <w:t xml:space="preserve">Staatsvertrag über das Fernunterrichtswesen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Zulassung wesentlicher Änderungen zugelassener Fernlehrgänge nach § 12 Abs. 1 Satz 2 FernUSG gelten die Vorschriften der Artikel 7 bis 10 entsprechend.</w:t>
      </w:r>
    </w:p>
    <w:p>
      <w:r>
        <w:t xml:space="preserve">(2) Für die vorläufige Zulassung unvollständiger Fernlehrgänge gelten im Rahmen des § 12 Abs. 3 FernUSG die Vorschriften der Artikel 7 bis 10 entsprechend.</w:t>
      </w:r>
    </w:p>
    <w:p>
      <w:r>
        <w:rPr>
          <w:color w:val="555555"/>
          <w:sz w:val="17"/>
        </w:rPr>
        <w:t xml:space="preserve">Zitiervorschlag: Art 11 FernUnterStV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https://recht.nulegal.eu/gesetze/FernUnterStV/11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