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FernUSG — Umgehungsverbot</w:t>
      </w:r>
    </w:p>
    <w:p>
      <w:r>
        <w:rPr>
          <w:color w:val="555555"/>
          <w:sz w:val="18"/>
        </w:rPr>
        <w:t xml:space="preserve">Fernunterrichtsschutzgesetz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2 bis 7 finden auf Verträge, die darauf abzielen, die Zwecke eines Fernunterrichtsvertrags (§ 2) in einer anderen Rechtsform zu erreichen, entsprechende Anwendung.</w:t>
      </w:r>
    </w:p>
    <w:p>
      <w:r>
        <w:rPr>
          <w:color w:val="555555"/>
          <w:sz w:val="17"/>
        </w:rPr>
        <w:t xml:space="preserve">Zitiervorschlag: § 8 FernUSG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https://recht.nulegal.eu/gesetze/FernUSG/8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