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FernUSG — Ordnungswidrigkeiten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als Veranstalter einen Fernlehrgang, der nicht nach § 12 Abs. 1 Satz 1 oder dessen wesentliche Änderung nicht nach § 12 Abs. 1 Satz 2 zugelassen ist, vertreibt oder vertreiben lässt,</w:t>
      </w:r>
    </w:p>
    <w:p>
      <w:pPr>
        <w:ind w:left="420"/>
      </w:pPr>
      <w:r>
        <w:t xml:space="preserve">2. entgegen § 12 Abs. 1 Satz 4 den Vertrieb eines Fernlehrgangs, der nach Inhalt und Ziel ausschließlich der Freizeitgestaltung oder der Unterhaltung dient, oder entgegen § 18 Satz 2 den Vertrieb eines ergänzenden Fernlehrgangs nach § 18 Satz 1 nicht anzeigt,</w:t>
      </w:r>
    </w:p>
    <w:p>
      <w:pPr>
        <w:ind w:left="780"/>
      </w:pPr>
      <w:r>
        <w:t xml:space="preserve">a) entgegen § 16 Abs. 1 als Veranstalter Informationsmaterial übermittelt, das keinen vollständigen Überblick über die Vertragsbedingungen und die Anforderungen an den Teilnehmer gibt,</w:t>
      </w:r>
    </w:p>
    <w:p>
      <w:pPr>
        <w:ind w:left="780"/>
      </w:pPr>
      <w:r>
        <w:t xml:space="preserve">b) entgegen § 16 Abs. 2 als Veranstalter in dem Informationsmaterial nicht deutlich kennzeichnet, dass der Fernlehrgang nur vorläufig zugelassen ist,</w:t>
      </w:r>
    </w:p>
    <w:p>
      <w:pPr>
        <w:ind w:left="780"/>
      </w:pPr>
      <w:r>
        <w:t xml:space="preserve">c) entgegen § 16 Abs. 3 als Veranstalter die Anerkennung eines unentgeltlichen berufsbildenden Fernlehrgangs nach § 15 Abs. 1 zur geschäftlichen Werbung für Fernlehrgänge verwendet,</w:t>
      </w:r>
    </w:p>
    <w:p>
      <w:pPr>
        <w:ind w:left="420"/>
      </w:pPr>
      <w:r>
        <w:t xml:space="preserve">4. entgegen § 17 Satz 1 zum Zweck der Werbung, Beratung oder des Vertragsabschlusses Personen aufsucht, oder</w:t>
      </w:r>
    </w:p>
    <w:p>
      <w:pPr>
        <w:ind w:left="420"/>
      </w:pPr>
      <w:r>
        <w:t xml:space="preserve">5. entgegen § 20 Abs. 1 eine Auskunft nicht, nicht rechtzeitig, nicht richtig oder nicht vollständig erteilt, Unterlagen nicht, nicht rechtzeitig oder nicht vollständig vorlegt oder eine Besichtigung nicht duldet.</w:t>
      </w:r>
    </w:p>
    <w:p>
      <w:r>
        <w:t xml:space="preserve">(2) Die Ordnungswidrigkeit kann in den Fällen des Absatzes 1 Nr. 1, 3 und 4 mit einer Geldbuße bis zu 10 000 Euro, in den Fällen des Absatzes 1 Nr. 2 und 5 mit einer Geldbuße bis zu 1 000 Euro geahndet werden.</w:t>
      </w:r>
    </w:p>
    <w:p>
      <w:r>
        <w:rPr>
          <w:color w:val="555555"/>
          <w:sz w:val="17"/>
        </w:rPr>
        <w:t xml:space="preserve">Zitiervorschlag: § 21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