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FernUSG — Auskunftspflicht</w:t>
      </w:r>
    </w:p>
    <w:p>
      <w:r>
        <w:rPr>
          <w:color w:val="555555"/>
          <w:sz w:val="18"/>
        </w:rPr>
        <w:t xml:space="preserve">Fernunterrichtsschutzgesetz</w:t>
      </w:r>
    </w:p>
    <w:p>
      <w:r>
        <w:rPr>
          <w:color w:val="555555"/>
          <w:sz w:val="18"/>
        </w:rPr>
        <w:t xml:space="preserve">Stand: 10.06.2019 (konsolidierte Textfassung, kein amtliches Inkrafttretensdatum)</w:t>
      </w:r>
    </w:p>
    <w:p>
      <w:r>
        <w:t xml:space="preserve">(1) Der Veranstalter ist verpflichtet, der zuständigen Behörde und, sofern das Landesrecht nach § 19 Abs. 2 eine Entscheidung im Benehmen mit dem Bundesinstitut für Berufsbildung vorsieht, in den in dieser Vorschrift genannten Fällen auch dem Bundesinstitut für Berufsbildung auf Verlangen die zur Durchführung der Aufgaben dieser Behörden erforderlichen Auskünfte zu erteilen, die dafür notwendigen Unterlagen vollständig und fristgemäß vorzulegen und zum Zweck der Überprüfung der Einhaltung von Pflichten des Veranstalters nach § 2 Abs. 1 innerhalb der Geschäftszeit Besichtigungen der Betriebsgrundstücke und Geschäftsräume zu dulden, die der Veranstaltung von Fernunterricht einschließlich begleitendem Unterricht dienen. Die Auskunftspflicht erstreckt sich auch auf bereits zugelassene Fernlehrgänge. Die Auskünfte sind wahrheitsgemäß, vollständig, fristgemäß und, soweit nichts anderes bestimmt ist, unentgeltlich zu geben.</w:t>
      </w:r>
    </w:p>
    <w:p>
      <w:r>
        <w:t xml:space="preserve">(2) Der Auskunftspflichtige kann die Auskunft auf solche Fragen verweigern, deren Beantwortung ihm selbst oder einem seiner in § 383 Abs. 1 Nr. 1 bis 3 der Zivilprozessordnung bezeichneten Angehörigen die Gefahr zuziehen würde, wegen einer Straftat oder einer Ordnungswidrigkeit verfolgt zu werden.</w:t>
      </w:r>
    </w:p>
    <w:p>
      <w:r>
        <w:t xml:space="preserve">(3) Einzelangaben über persönliche oder sachliche Verhältnisse, die für Erhebungen und Untersuchungen der Behörden nach Absatz 1 Satz 1 gemacht werden, sind, soweit durch Rechtsvorschrift nichts anderes bestimmt ist, von diesen Behörden geheimzuhalten. Die §§ 93, 97, 105 Abs. 1, § 111 Abs. 5 in Verbindung mit § 105 Abs. 1 sowie § 116 Abs. 1 der Abgabenordnung vom 16. März 1976 (BGBl. I S. 613) gelten insoweit nicht. Veröffentlichungen dieser Behörden dürfen keine Einzelangaben über Veranstalter enthalten. Eine Zusammenfassung von Angaben mehrerer Auskunftspflichtiger ist keine Einzelangabe im Sinne dieses Absatzes.</w:t>
      </w:r>
    </w:p>
    <w:p>
      <w:r>
        <w:rPr>
          <w:color w:val="555555"/>
          <w:sz w:val="17"/>
        </w:rPr>
        <w:t xml:space="preserve">Zitiervorschlag: § 20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