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FernUSG — Werbung mit Informationsmaterial</w:t>
      </w:r>
    </w:p>
    <w:p>
      <w:r>
        <w:rPr>
          <w:color w:val="555555"/>
          <w:sz w:val="18"/>
        </w:rPr>
        <w:t xml:space="preserve">Fernunterrichtsschutzgesetz</w:t>
      </w:r>
    </w:p>
    <w:p>
      <w:r>
        <w:rPr>
          <w:color w:val="555555"/>
          <w:sz w:val="18"/>
        </w:rPr>
        <w:t xml:space="preserve">Stand: 28.05.2022 (konsolidierte Textfassung, kein amtliches Inkrafttretensdatum)</w:t>
      </w:r>
    </w:p>
    <w:p>
      <w:r>
        <w:t xml:space="preserve">(1) Der Veranstalter hat bei geschäftlicher Werbung für Fernlehrgänge durch Übermittlung von Informationsmaterial einen vollständigen Überblick über die Vertragsbedingungen und die Anforderungen an den Teilnehmer zu geben. Das Informationsmaterial muss insbesondere einen vollständigen Überblick über die in Artikel 246a § 1 Absatz 1 Satz 1 Nummer 1, 5 bis 10 und 14 des Einführungsgesetzes zum Bürgerlichen Gesetzbuche genannten Angaben, über die Gültigkeitsdauer des Angebots und über das Widerrufsrecht des Teilnehmers enthalten.</w:t>
      </w:r>
    </w:p>
    <w:p>
      <w:r>
        <w:t xml:space="preserve">(2) Ist ein Fernlehrgang nur vorläufig zugelassen, so muss dies in dem Informationsmaterial deutlich gekennzeichnet sein.</w:t>
      </w:r>
    </w:p>
    <w:p>
      <w:r>
        <w:t xml:space="preserve">(3) Die Anerkennung eines unentgeltlichen berufsbildenden Fernlehrgangs nach § 15 Abs. 1 darf nicht zur geschäftlichen Werbung für Fernlehrgänge verwendet werden.</w:t>
      </w:r>
    </w:p>
    <w:p>
      <w:r>
        <w:rPr>
          <w:color w:val="555555"/>
          <w:sz w:val="17"/>
        </w:rPr>
        <w:t xml:space="preserve">Zitiervorschlag: § 16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