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12a FernUSG — Einheitliche Stelle, Genehmigungsfiktion</w:t>
      </w:r>
    </w:p>
    <w:p>
      <w:r>
        <w:rPr>
          <w:color w:val="555555"/>
          <w:sz w:val="18"/>
        </w:rPr>
        <w:t xml:space="preserve">Fernunterrichtsschutzgesetz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Verfahren nach § 12 Absatz 1 können über eine einheitliche Stelle abgewickelt werden.</w:t>
      </w:r>
    </w:p>
    <w:p>
      <w:r>
        <w:t xml:space="preserve">(2) Hat die zuständige Behörde nicht innerhalb einer Frist von drei Monaten entschieden, gilt die Zulassung als erteilt.</w:t>
      </w:r>
    </w:p>
    <w:p>
      <w:r>
        <w:rPr>
          <w:color w:val="555555"/>
          <w:sz w:val="17"/>
        </w:rPr>
        <w:t xml:space="preserve">Zitiervorschlag: § 12a FernUSG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https://recht.nulegal.eu/gesetze/FernUSG/12a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