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FernUSG — Anwendungsbereich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Fernunterricht im Sinne dieses Gesetzes ist die auf vertraglicher Grundlage erfolgende, entgeltliche Vermittlung von Kenntnissen und Fähigkeiten, bei der</w:t>
      </w:r>
    </w:p>
    <w:p>
      <w:pPr>
        <w:ind w:left="420"/>
      </w:pPr>
      <w:r>
        <w:t xml:space="preserve">1. der Lehrende und der Lernende ausschließlich oder überwiegend räumlich getrennt sind und</w:t>
      </w:r>
    </w:p>
    <w:p>
      <w:pPr>
        <w:ind w:left="420"/>
      </w:pPr>
      <w:r>
        <w:t xml:space="preserve">2. der Lehrende oder sein Beauftragter den Lernerfolg überwachen.</w:t>
      </w:r>
    </w:p>
    <w:p>
      <w:r>
        <w:t xml:space="preserve">(2) Dieses Gesetz findet auch auf unentgeltlichen Fernunterricht Anwendung, soweit dies ausdrücklich vorgesehen ist.</w:t>
      </w:r>
    </w:p>
    <w:p>
      <w:r>
        <w:rPr>
          <w:color w:val="555555"/>
          <w:sz w:val="17"/>
        </w:rPr>
        <w:t xml:space="preserve">Zitiervorschlag: § 1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