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FerkBetSachkV — Inkrafttreten</w:t>
      </w:r>
    </w:p>
    <w:p>
      <w:r>
        <w:rPr>
          <w:color w:val="555555"/>
          <w:sz w:val="18"/>
        </w:rPr>
        <w:t xml:space="preserve">Ferkelbetäubungssachkundeverordnung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FerkBetSachkV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https://recht.nulegal.eu/gesetze/FerkBetSachkV/10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