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FerReiseV 1985</w:t>
      </w:r>
    </w:p>
    <w:p>
      <w:r>
        <w:rPr>
          <w:color w:val="555555"/>
          <w:sz w:val="18"/>
        </w:rPr>
        <w:t xml:space="preserve">Ferienreiseverordnung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des Straßenverkehrsgesetzes in der im Bundesgesetzblatt Teil III, Gliederungsnummer 9231-1, veröffentlichten bereinigten Fassung, der zuletzt durch das Gesetz von 6. April 1980 (BGBl. I S. 413) geändert worden ist, wird mit Zustimmung des Bundesrates verordnet:</w:t>
      </w:r>
    </w:p>
    <w:p>
      <w:r>
        <w:rPr>
          <w:color w:val="555555"/>
          <w:sz w:val="17"/>
        </w:rPr>
        <w:t xml:space="preserve">Zitiervorschlag: Eingangsformel FerReiseV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https://recht.nulegal.eu/gesetze/FerReiseV%201985/eingangsformel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