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FerReiseV 1985</w:t>
      </w:r>
    </w:p>
    <w:p>
      <w:r>
        <w:rPr>
          <w:color w:val="555555"/>
          <w:sz w:val="18"/>
        </w:rPr>
        <w:t xml:space="preserve">Ferienreiseverordnung</w:t>
      </w:r>
    </w:p>
    <w:p>
      <w:r>
        <w:rPr>
          <w:color w:val="555555"/>
          <w:sz w:val="18"/>
        </w:rPr>
        <w:t xml:space="preserve">Stand: 30.07.2021 (konsolidierte Textfassung, kein amtliches Inkrafttretensdatum)</w:t>
      </w:r>
    </w:p>
    <w:p>
      <w:r>
        <w:t xml:space="preserve">Ordnungswidrig im Sinne des § 24 Absatz 1 des Straßenverkehrsgesetzes handelt, wer vorsätzlich oder fahrlässig</w:t>
      </w:r>
    </w:p>
    <w:p>
      <w:pPr>
        <w:ind w:left="420"/>
      </w:pPr>
      <w:r>
        <w:t xml:space="preserve">1. entgegen § 1 ein Kraftfahrzeug führt oder das Führen eines Kraftfahrzeugs zuläßt oder</w:t>
      </w:r>
    </w:p>
    <w:p>
      <w:pPr>
        <w:ind w:left="420"/>
      </w:pPr>
      <w:r>
        <w:t xml:space="preserve">2. entgegen § 2 Abs. 2 einen Leistungsbescheid oder einen Verpflichtungsbescheid oder entgegen § 3 Abs. 2 vorgeschriebene Fracht- oder Begleitpapiere oder entgegen § 4 Abs. 4 Satz 2 die Ausnahmegenehmigung nicht mitführt oder zuständigen Personen auf Verlangen zur Prüfung nicht aushändigt.</w:t>
      </w:r>
    </w:p>
    <w:p>
      <w:r>
        <w:rPr>
          <w:color w:val="555555"/>
          <w:sz w:val="17"/>
        </w:rPr>
        <w:t xml:space="preserve">Zitiervorschlag: § 5 FerReiseV 1985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https://recht.nulegal.eu/gesetze/FerReiseV%201985/5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