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FerReiseV 1985</w:t>
      </w:r>
    </w:p>
    <w:p>
      <w:r>
        <w:rPr>
          <w:color w:val="555555"/>
          <w:sz w:val="18"/>
        </w:rPr>
        <w:t xml:space="preserve">Ferienreiseverordnung</w:t>
      </w:r>
    </w:p>
    <w:p>
      <w:r>
        <w:rPr>
          <w:color w:val="555555"/>
          <w:sz w:val="18"/>
        </w:rPr>
        <w:t xml:space="preserve">Stand: 27.06.2025 (konsolidierte Textfassung, kein amtliches Inkrafttretensdatum)</w:t>
      </w:r>
    </w:p>
    <w:p>
      <w:r>
        <w:t xml:space="preserve">(1) § 1 gilt nicht für Fahrzeuge</w:t>
      </w:r>
    </w:p>
    <w:p>
      <w:pPr>
        <w:ind w:left="420"/>
      </w:pPr>
      <w:r>
        <w:t xml:space="preserve">1. der Polizei einschließlich der Bundespolizei,</w:t>
      </w:r>
    </w:p>
    <w:p>
      <w:pPr>
        <w:ind w:left="420"/>
      </w:pPr>
      <w:r>
        <w:t xml:space="preserve">2. des öffentlichen Straßendiensts der Verwaltung,</w:t>
      </w:r>
    </w:p>
    <w:p>
      <w:pPr>
        <w:ind w:left="420"/>
      </w:pPr>
      <w:r>
        <w:t xml:space="preserve">3. der Feuerwehr und des Zivil- und Katastrophenschutzes, soweit die Voraussetzungen des § 35 Abs. 4 der Straßenverkehrs-Ordnung vorliegen,</w:t>
      </w:r>
    </w:p>
    <w:p>
      <w:pPr>
        <w:ind w:left="420"/>
      </w:pPr>
      <w:r>
        <w:t xml:space="preserve">4. der Bundeswehr sowie der von ihr beauftragten gewerblichen Transportdienstunternehmen im Falle militärischer Erfordernisse,</w:t>
      </w:r>
    </w:p>
    <w:p>
      <w:pPr>
        <w:ind w:left="420"/>
      </w:pPr>
      <w:r>
        <w:t xml:space="preserve">5. der Truppen der nichtdeutschen Vertragsstaaten des Nordatlantikvertrages, der Mitgliedstaaten der Europäischen Union und weiterer verbündeter Streitkräfte sowie der von den jeweiligen Truppen beauftragten gewerblichen Transportdienstunternehmen im Falle militärischer Erfordernisse,</w:t>
      </w:r>
    </w:p>
    <w:p>
      <w:pPr>
        <w:ind w:left="420"/>
      </w:pPr>
      <w:r>
        <w:t xml:space="preserve">6. die auf Grundlage des Bundesleistungsgesetzes, des Verkehrssicherstellungsgesetzes oder des Verkehrsleistungsgesetzes zur Sicherung ausreichender Verkehrsleistungen herangezogen werden.</w:t>
      </w:r>
    </w:p>
    <w:p>
      <w:r>
        <w:t xml:space="preserve">(2) Bei Fahrten mit Fahrzeugen, die</w:t>
      </w:r>
    </w:p>
    <w:p>
      <w:pPr>
        <w:ind w:left="420"/>
      </w:pPr>
      <w:r>
        <w:t xml:space="preserve">1. nach dem Bundesleistungsgesetz herangezogen werden (Absatz 1 Nr. 4 oder 6), ist der Leistungsbescheid,</w:t>
      </w:r>
    </w:p>
    <w:p>
      <w:pPr>
        <w:ind w:left="420"/>
      </w:pPr>
      <w:r>
        <w:t xml:space="preserve">2. nach dem Verkehrssicherstellungsgesetz herangezogen werden (Absatz 1 Nr. 6), ist der jeweilige Verpflichtungsbescheid</w:t>
      </w:r>
    </w:p>
    <w:p>
      <w:r>
        <w:t xml:space="preserve">mitzuführen und auf Verlangen den zur Überwachung zuständigen Personen zur Prüfung auszuhändigen.</w:t>
      </w:r>
    </w:p>
    <w:p>
      <w:r>
        <w:t xml:space="preserve">(3) Die Befreiungen nach Absatz 1 dürfen nur unter gebührender Berücksichtigung der öffentlichen Sicherheit und Ordnung in Anspruch genommen werden.</w:t>
      </w:r>
    </w:p>
    <w:p>
      <w:r>
        <w:rPr>
          <w:color w:val="555555"/>
          <w:sz w:val="17"/>
        </w:rPr>
        <w:t xml:space="preserve">Zitiervorschlag: § 2 FerReiseV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https://recht.nulegal.eu/gesetze/FerReiseV%201985/2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