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FeinwerkMechMstrV 2025</w:t>
      </w:r>
    </w:p>
    <w:p>
      <w:r>
        <w:rPr>
          <w:color w:val="555555"/>
          <w:sz w:val="18"/>
        </w:rPr>
        <w:t xml:space="preserve">Feinwerkmechanikermeisterverordnung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Auf Grund des § 45 Absatz 1 der Handwerksordnung in der Fassung der Bekanntmachung vom 24. September 1998 (BGBl. I S. 3074; 2006 I S. 2095), der zuletzt durch Artikel 2 Nummer 1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FeinwerkMechMstrV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https://recht.nulegal.eu/gesetze/FeinwerkMechMstrV%202025/eingangsformel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FeinwerkMechMstrV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