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FeinwAusbV — Inkrafttreten, Außerkrafttreten</w:t>
      </w:r>
    </w:p>
    <w:p>
      <w:r>
        <w:rPr>
          <w:color w:val="555555"/>
          <w:sz w:val="18"/>
        </w:rPr>
        <w:t xml:space="preserve">Verordnung über die Berufsausbildung zum Feinwerkmechaniker und zur Feinwerkmechanikerin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2010 in Kraft. Gleichzeitig tritt die Verordnung über die Berufsausbildung zum Feinwerkmechaniker und zur Feinwerkmechanikerin vom 25. Juli 2008 (BGBl. I S. 1429) außer Kraft.</w:t>
      </w:r>
    </w:p>
    <w:p>
      <w:r>
        <w:rPr>
          <w:color w:val="555555"/>
          <w:sz w:val="17"/>
        </w:rPr>
        <w:t xml:space="preserve">Zitiervorschlag: § 12 FeinwAusbV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https://recht.nulegal.eu/gesetze/FeinwAusbV/12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