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FeinOAusbV 2024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25 Absatz 1 Satz 1 der Handwerksordnung, der zuletzt durch Artikel 2 Nummer 1 des Gesetzes vom 9. November 2022 (BGBl. I S. 2009) geändert worden ist, sowie</w:t>
      </w:r>
    </w:p>
    <w:p>
      <w:pPr>
        <w:ind w:left="420"/>
      </w:pPr>
      <w:r>
        <w:t xml:space="preserve">–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</w:t>
      </w:r>
    </w:p>
    <w:p>
      <w:r>
        <w:t xml:space="preserve">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