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FeinOAusbV 2024 — Inhalt des Teiles 1</w:t>
      </w:r>
    </w:p>
    <w:p>
      <w:r>
        <w:rPr>
          <w:color w:val="555555"/>
          <w:sz w:val="18"/>
        </w:rPr>
        <w:t xml:space="preserve">Feinoptikerausbildungsverordnung</w:t>
      </w:r>
    </w:p>
    <w:p>
      <w:r>
        <w:rPr>
          <w:color w:val="555555"/>
          <w:sz w:val="18"/>
        </w:rPr>
        <w:t xml:space="preserve">Stand: 01.08.2024 (konsolidierte Textfassung, kein amtliches Inkrafttretensdatum)</w:t>
      </w:r>
    </w:p>
    <w:p>
      <w:r>
        <w:t xml:space="preserve">Teil 1 der Gesellen- oder Abschlussprüfung erstreckt sich auf</w:t>
      </w:r>
    </w:p>
    <w:p>
      <w:pPr>
        <w:ind w:left="420"/>
      </w:pPr>
      <w:r>
        <w:t xml:space="preserve">1. die im Ausbildungsrahmenplan für die ersten drei Ausbildungshalbjahre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7 FeinOAusbV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https://recht.nulegal.eu/gesetze/FeinOAusbV%202024/7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