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FeinOAusbV 2024 — Dauer der Berufsausbildung</w:t>
      </w:r>
    </w:p>
    <w:p>
      <w:r>
        <w:rPr>
          <w:color w:val="555555"/>
          <w:sz w:val="18"/>
        </w:rPr>
        <w:t xml:space="preserve">Feinoptikerausbildungsverordnung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FeinOAusbV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https://recht.nulegal.eu/gesetze/FeinOAusbV%202024/2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