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FeinOAusbV 2024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planoptischen Bauteilen“    mit 20 Prozent,</w:t>
      </w:r>
    </w:p>
    <w:p>
      <w:r>
        <w:rPr>
          <w:rFonts w:ascii="Courier New" w:hAnsi="Courier New"/>
          <w:sz w:val="17"/>
        </w:rPr>
        <w:t xml:space="preserve">„Bauteilqualität und Arbeitsorganisation“    mit 10 Prozent,</w:t>
      </w:r>
    </w:p>
    <w:p>
      <w:r>
        <w:rPr>
          <w:rFonts w:ascii="Courier New" w:hAnsi="Courier New"/>
          <w:sz w:val="17"/>
        </w:rPr>
        <w:t xml:space="preserve">„Herstellen von optischen Baugruppen und Systemen“    mit 40 Prozent,</w:t>
      </w:r>
    </w:p>
    <w:p>
      <w:r>
        <w:rPr>
          <w:rFonts w:ascii="Courier New" w:hAnsi="Courier New"/>
          <w:sz w:val="17"/>
        </w:rPr>
        <w:t xml:space="preserve">„Fertigungstechnik“    mit 20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 – wenn die Prüfungsleistungen, auch unter Berücksichtigung einer mündlichen Ergänzungsprüfung nach § 17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16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